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3772" w14:textId="77777777" w:rsidR="00466A6C" w:rsidRDefault="00466A6C" w:rsidP="00D721E9">
      <w:pPr>
        <w:spacing w:after="0" w:line="480" w:lineRule="auto"/>
        <w:jc w:val="center"/>
        <w:rPr>
          <w:rFonts w:ascii="Times New Roman" w:hAnsi="Times New Roman" w:cs="Times New Roman"/>
          <w:b/>
          <w:sz w:val="24"/>
          <w:szCs w:val="24"/>
        </w:rPr>
      </w:pPr>
    </w:p>
    <w:p w14:paraId="0663CE63" w14:textId="77777777" w:rsidR="00466A6C" w:rsidRDefault="00466A6C" w:rsidP="00D721E9">
      <w:pPr>
        <w:spacing w:after="0" w:line="480" w:lineRule="auto"/>
        <w:jc w:val="center"/>
        <w:rPr>
          <w:rFonts w:ascii="Times New Roman" w:hAnsi="Times New Roman" w:cs="Times New Roman"/>
          <w:b/>
          <w:sz w:val="24"/>
          <w:szCs w:val="24"/>
        </w:rPr>
      </w:pPr>
    </w:p>
    <w:p w14:paraId="70D0193F" w14:textId="77777777" w:rsidR="00466A6C" w:rsidRDefault="00466A6C" w:rsidP="00D721E9">
      <w:pPr>
        <w:spacing w:after="0" w:line="480" w:lineRule="auto"/>
        <w:jc w:val="center"/>
        <w:rPr>
          <w:rFonts w:ascii="Times New Roman" w:hAnsi="Times New Roman" w:cs="Times New Roman"/>
          <w:b/>
          <w:sz w:val="24"/>
          <w:szCs w:val="24"/>
        </w:rPr>
      </w:pPr>
    </w:p>
    <w:p w14:paraId="1FBCC162" w14:textId="77777777" w:rsidR="00466A6C" w:rsidRDefault="00466A6C" w:rsidP="00D721E9">
      <w:pPr>
        <w:spacing w:after="0" w:line="480" w:lineRule="auto"/>
        <w:jc w:val="center"/>
        <w:rPr>
          <w:rFonts w:ascii="Times New Roman" w:hAnsi="Times New Roman" w:cs="Times New Roman"/>
          <w:b/>
          <w:sz w:val="24"/>
          <w:szCs w:val="24"/>
        </w:rPr>
      </w:pPr>
    </w:p>
    <w:p w14:paraId="4CA12BB1" w14:textId="77777777" w:rsidR="00466A6C" w:rsidRDefault="00466A6C" w:rsidP="00D721E9">
      <w:pPr>
        <w:spacing w:after="0" w:line="480" w:lineRule="auto"/>
        <w:jc w:val="center"/>
        <w:rPr>
          <w:rFonts w:ascii="Times New Roman" w:hAnsi="Times New Roman" w:cs="Times New Roman"/>
          <w:b/>
          <w:sz w:val="24"/>
          <w:szCs w:val="24"/>
        </w:rPr>
      </w:pPr>
    </w:p>
    <w:p w14:paraId="0D349664" w14:textId="77777777" w:rsidR="00466A6C" w:rsidRDefault="00466A6C" w:rsidP="00D721E9">
      <w:pPr>
        <w:spacing w:after="0" w:line="480" w:lineRule="auto"/>
        <w:jc w:val="center"/>
        <w:rPr>
          <w:rFonts w:ascii="Times New Roman" w:hAnsi="Times New Roman" w:cs="Times New Roman"/>
          <w:b/>
          <w:sz w:val="24"/>
          <w:szCs w:val="24"/>
        </w:rPr>
      </w:pPr>
    </w:p>
    <w:p w14:paraId="2C5B7C94" w14:textId="77777777" w:rsidR="00466A6C" w:rsidRDefault="00466A6C" w:rsidP="00D721E9">
      <w:pPr>
        <w:spacing w:after="0" w:line="480" w:lineRule="auto"/>
        <w:jc w:val="center"/>
        <w:rPr>
          <w:rFonts w:ascii="Times New Roman" w:hAnsi="Times New Roman" w:cs="Times New Roman"/>
          <w:b/>
          <w:sz w:val="24"/>
          <w:szCs w:val="24"/>
        </w:rPr>
      </w:pPr>
    </w:p>
    <w:p w14:paraId="07F264E7" w14:textId="77777777" w:rsidR="00466A6C" w:rsidRDefault="00466A6C" w:rsidP="00D721E9">
      <w:pPr>
        <w:spacing w:after="0" w:line="480" w:lineRule="auto"/>
        <w:jc w:val="center"/>
        <w:rPr>
          <w:rFonts w:ascii="Times New Roman" w:hAnsi="Times New Roman" w:cs="Times New Roman"/>
          <w:b/>
          <w:sz w:val="24"/>
          <w:szCs w:val="24"/>
        </w:rPr>
      </w:pPr>
    </w:p>
    <w:p w14:paraId="7FF65C21" w14:textId="7915B6C6" w:rsidR="00D721E9" w:rsidRDefault="00466A6C" w:rsidP="00D721E9">
      <w:pPr>
        <w:spacing w:after="0" w:line="480" w:lineRule="auto"/>
        <w:jc w:val="center"/>
        <w:rPr>
          <w:rFonts w:ascii="Times New Roman" w:hAnsi="Times New Roman" w:cs="Times New Roman"/>
          <w:b/>
          <w:sz w:val="24"/>
          <w:szCs w:val="24"/>
        </w:rPr>
      </w:pPr>
      <w:r w:rsidRPr="00466A6C">
        <w:rPr>
          <w:rFonts w:ascii="Times New Roman" w:hAnsi="Times New Roman" w:cs="Times New Roman"/>
          <w:b/>
          <w:sz w:val="24"/>
          <w:szCs w:val="24"/>
        </w:rPr>
        <w:t xml:space="preserve">Personal Philosophy </w:t>
      </w:r>
    </w:p>
    <w:p w14:paraId="5111C75C" w14:textId="3219F0F6" w:rsidR="00466A6C" w:rsidRDefault="00466A6C" w:rsidP="00D721E9">
      <w:pPr>
        <w:spacing w:after="0" w:line="480" w:lineRule="auto"/>
        <w:jc w:val="center"/>
        <w:rPr>
          <w:rFonts w:ascii="Times New Roman" w:hAnsi="Times New Roman" w:cs="Times New Roman"/>
          <w:b/>
          <w:sz w:val="24"/>
          <w:szCs w:val="24"/>
        </w:rPr>
      </w:pPr>
    </w:p>
    <w:p w14:paraId="283DCD5C" w14:textId="5D8F9E65" w:rsidR="00466A6C" w:rsidRDefault="00466A6C" w:rsidP="00D721E9">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Name</w:t>
      </w:r>
    </w:p>
    <w:p w14:paraId="614BB735" w14:textId="01B3D445" w:rsidR="00466A6C" w:rsidRDefault="00466A6C" w:rsidP="00D721E9">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School Affiliation</w:t>
      </w:r>
    </w:p>
    <w:p w14:paraId="6AE30EC4" w14:textId="671EB1AB" w:rsidR="00466A6C" w:rsidRDefault="00466A6C" w:rsidP="00D721E9">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Course</w:t>
      </w:r>
    </w:p>
    <w:p w14:paraId="016852A9" w14:textId="32490ADB" w:rsidR="00466A6C" w:rsidRDefault="00466A6C" w:rsidP="00D721E9">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Instructor</w:t>
      </w:r>
    </w:p>
    <w:p w14:paraId="37323C77" w14:textId="23A61F8C" w:rsidR="00466A6C" w:rsidRDefault="00466A6C" w:rsidP="00D721E9">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Date Due</w:t>
      </w:r>
    </w:p>
    <w:p w14:paraId="3714F05D" w14:textId="3955E399" w:rsidR="00466A6C" w:rsidRDefault="00466A6C">
      <w:pPr>
        <w:rPr>
          <w:rFonts w:ascii="Times New Roman" w:hAnsi="Times New Roman" w:cs="Times New Roman"/>
          <w:sz w:val="24"/>
          <w:szCs w:val="24"/>
        </w:rPr>
      </w:pPr>
      <w:r>
        <w:rPr>
          <w:rFonts w:ascii="Times New Roman" w:hAnsi="Times New Roman" w:cs="Times New Roman"/>
          <w:sz w:val="24"/>
          <w:szCs w:val="24"/>
        </w:rPr>
        <w:br w:type="page"/>
      </w:r>
    </w:p>
    <w:p w14:paraId="2F0926D2" w14:textId="0D230FA6" w:rsidR="00466A6C" w:rsidRPr="00466A6C" w:rsidRDefault="00466A6C" w:rsidP="00D721E9">
      <w:pPr>
        <w:spacing w:after="0" w:line="480" w:lineRule="auto"/>
        <w:jc w:val="center"/>
        <w:rPr>
          <w:rFonts w:ascii="Times New Roman" w:hAnsi="Times New Roman" w:cs="Times New Roman"/>
          <w:sz w:val="24"/>
          <w:szCs w:val="24"/>
        </w:rPr>
      </w:pPr>
      <w:r w:rsidRPr="00466A6C">
        <w:rPr>
          <w:rFonts w:ascii="Times New Roman" w:hAnsi="Times New Roman" w:cs="Times New Roman"/>
          <w:b/>
          <w:sz w:val="24"/>
          <w:szCs w:val="24"/>
        </w:rPr>
        <w:lastRenderedPageBreak/>
        <w:t>Personal Philosophy</w:t>
      </w:r>
    </w:p>
    <w:p w14:paraId="750AA89B" w14:textId="1F9C7811" w:rsidR="00075005" w:rsidRDefault="00574B4F" w:rsidP="00D721E9">
      <w:pPr>
        <w:spacing w:after="0" w:line="480" w:lineRule="auto"/>
        <w:rPr>
          <w:rFonts w:ascii="Times New Roman" w:hAnsi="Times New Roman" w:cs="Times New Roman"/>
          <w:sz w:val="24"/>
          <w:szCs w:val="24"/>
        </w:rPr>
      </w:pPr>
      <w:r w:rsidRPr="00574B4F">
        <w:rPr>
          <w:rFonts w:ascii="Times New Roman" w:hAnsi="Times New Roman" w:cs="Times New Roman"/>
          <w:sz w:val="24"/>
          <w:szCs w:val="24"/>
        </w:rPr>
        <w:tab/>
      </w:r>
      <w:r>
        <w:rPr>
          <w:rFonts w:ascii="Times New Roman" w:hAnsi="Times New Roman" w:cs="Times New Roman"/>
          <w:sz w:val="24"/>
          <w:szCs w:val="24"/>
        </w:rPr>
        <w:t xml:space="preserve">As Dr. Martin Luther King once said, “of all forms of inequality, injustice in health care is the most shocking and inhumane.” </w:t>
      </w:r>
      <w:r w:rsidR="00466A6C">
        <w:rPr>
          <w:rFonts w:ascii="Times New Roman" w:hAnsi="Times New Roman" w:cs="Times New Roman"/>
          <w:sz w:val="24"/>
          <w:szCs w:val="24"/>
        </w:rPr>
        <w:t>P</w:t>
      </w:r>
      <w:r>
        <w:rPr>
          <w:rFonts w:ascii="Times New Roman" w:hAnsi="Times New Roman" w:cs="Times New Roman"/>
          <w:sz w:val="24"/>
          <w:szCs w:val="24"/>
        </w:rPr>
        <w:t xml:space="preserve">ropelling the country towards health care equity requires </w:t>
      </w:r>
      <w:r>
        <w:rPr>
          <w:rFonts w:ascii="Times New Roman" w:hAnsi="Times New Roman" w:cs="Times New Roman"/>
          <w:sz w:val="24"/>
          <w:szCs w:val="24"/>
        </w:rPr>
        <w:t>a nursing workforce ready to address the upstream and downstream social determinants of health (National Academies of Science, Engineering, and Medicine, 2021).</w:t>
      </w:r>
      <w:r>
        <w:rPr>
          <w:rFonts w:ascii="Times New Roman" w:hAnsi="Times New Roman" w:cs="Times New Roman"/>
          <w:sz w:val="24"/>
          <w:szCs w:val="24"/>
        </w:rPr>
        <w:t xml:space="preserve"> </w:t>
      </w:r>
      <w:r w:rsidR="00075005">
        <w:rPr>
          <w:rFonts w:ascii="Times New Roman" w:hAnsi="Times New Roman" w:cs="Times New Roman"/>
          <w:sz w:val="24"/>
          <w:szCs w:val="24"/>
        </w:rPr>
        <w:t>Nurses can contribute significantly to improving access, quality, safety, and equitability of care. Consistent with</w:t>
      </w:r>
      <w:r w:rsidR="00D721E9">
        <w:rPr>
          <w:rFonts w:ascii="Times New Roman" w:hAnsi="Times New Roman" w:cs="Times New Roman"/>
          <w:sz w:val="24"/>
          <w:szCs w:val="24"/>
        </w:rPr>
        <w:t xml:space="preserve"> McKenna et al. (2023)</w:t>
      </w:r>
      <w:r w:rsidR="00075005">
        <w:rPr>
          <w:rFonts w:ascii="Times New Roman" w:hAnsi="Times New Roman" w:cs="Times New Roman"/>
          <w:sz w:val="24"/>
          <w:szCs w:val="24"/>
        </w:rPr>
        <w:t>, this implies embracing the nobility of the nursing profession, with commitment and dedication to serving others. Indeed, this has been a foundation for the development of my nursing philosophy.</w:t>
      </w:r>
    </w:p>
    <w:p w14:paraId="7A90B52A" w14:textId="50B6DBB2" w:rsidR="00075005" w:rsidRDefault="00075005" w:rsidP="00D721E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M</w:t>
      </w:r>
      <w:r w:rsidR="00574B4F" w:rsidRPr="00574B4F">
        <w:rPr>
          <w:rFonts w:ascii="Times New Roman" w:hAnsi="Times New Roman" w:cs="Times New Roman"/>
          <w:sz w:val="24"/>
          <w:szCs w:val="24"/>
        </w:rPr>
        <w:t xml:space="preserve">y </w:t>
      </w:r>
      <w:r w:rsidR="00574B4F">
        <w:rPr>
          <w:rFonts w:ascii="Times New Roman" w:hAnsi="Times New Roman" w:cs="Times New Roman"/>
          <w:sz w:val="24"/>
          <w:szCs w:val="24"/>
        </w:rPr>
        <w:t>philosophy as a DNP-prepared nurse revolves around</w:t>
      </w:r>
      <w:r>
        <w:rPr>
          <w:rFonts w:ascii="Times New Roman" w:hAnsi="Times New Roman" w:cs="Times New Roman"/>
          <w:sz w:val="24"/>
          <w:szCs w:val="24"/>
        </w:rPr>
        <w:t xml:space="preserve"> the</w:t>
      </w:r>
      <w:r w:rsidR="00574B4F">
        <w:rPr>
          <w:rFonts w:ascii="Times New Roman" w:hAnsi="Times New Roman" w:cs="Times New Roman"/>
          <w:sz w:val="24"/>
          <w:szCs w:val="24"/>
        </w:rPr>
        <w:t xml:space="preserve"> commitment to safe, timely, efficient, effective equitable, and patient-centered care. </w:t>
      </w:r>
      <w:r w:rsidR="00D721E9">
        <w:rPr>
          <w:rFonts w:ascii="Times New Roman" w:hAnsi="Times New Roman" w:cs="Times New Roman"/>
          <w:sz w:val="24"/>
          <w:szCs w:val="24"/>
        </w:rPr>
        <w:t>Consequently</w:t>
      </w:r>
      <w:r>
        <w:rPr>
          <w:rFonts w:ascii="Times New Roman" w:hAnsi="Times New Roman" w:cs="Times New Roman"/>
          <w:sz w:val="24"/>
          <w:szCs w:val="24"/>
        </w:rPr>
        <w:t xml:space="preserve">, this implies </w:t>
      </w:r>
      <w:r w:rsidR="00F04F9E">
        <w:rPr>
          <w:rFonts w:ascii="Times New Roman" w:hAnsi="Times New Roman" w:cs="Times New Roman"/>
          <w:sz w:val="24"/>
          <w:szCs w:val="24"/>
        </w:rPr>
        <w:t>working collaboratively with patients through shared decision-making. As supported by the literature (</w:t>
      </w:r>
      <w:r w:rsidR="00D721E9">
        <w:rPr>
          <w:rFonts w:ascii="Times New Roman" w:hAnsi="Times New Roman" w:cs="Times New Roman"/>
          <w:sz w:val="24"/>
          <w:szCs w:val="24"/>
        </w:rPr>
        <w:t>Chen et al., 2023</w:t>
      </w:r>
      <w:r w:rsidR="00F04F9E">
        <w:rPr>
          <w:rFonts w:ascii="Times New Roman" w:hAnsi="Times New Roman" w:cs="Times New Roman"/>
          <w:sz w:val="24"/>
          <w:szCs w:val="24"/>
        </w:rPr>
        <w:t>;</w:t>
      </w:r>
      <w:r w:rsidR="00D721E9">
        <w:rPr>
          <w:rFonts w:ascii="Times New Roman" w:hAnsi="Times New Roman" w:cs="Times New Roman"/>
          <w:sz w:val="24"/>
          <w:szCs w:val="24"/>
        </w:rPr>
        <w:t xml:space="preserve"> </w:t>
      </w:r>
      <w:proofErr w:type="spellStart"/>
      <w:r w:rsidR="00D721E9">
        <w:rPr>
          <w:rFonts w:ascii="Times New Roman" w:hAnsi="Times New Roman" w:cs="Times New Roman"/>
          <w:sz w:val="24"/>
          <w:szCs w:val="24"/>
        </w:rPr>
        <w:t>Montori</w:t>
      </w:r>
      <w:proofErr w:type="spellEnd"/>
      <w:r w:rsidR="00D721E9">
        <w:rPr>
          <w:rFonts w:ascii="Times New Roman" w:hAnsi="Times New Roman" w:cs="Times New Roman"/>
          <w:sz w:val="24"/>
          <w:szCs w:val="24"/>
        </w:rPr>
        <w:t xml:space="preserve"> et al., 2023</w:t>
      </w:r>
      <w:r w:rsidR="00F04F9E">
        <w:rPr>
          <w:rFonts w:ascii="Times New Roman" w:hAnsi="Times New Roman" w:cs="Times New Roman"/>
          <w:sz w:val="24"/>
          <w:szCs w:val="24"/>
        </w:rPr>
        <w:t xml:space="preserve">), shared decision-making aligns care, interventions, and support with patients’ unique needs and preferences, resulting in improved care outcomes. With this understanding, my philosophy is to prioritize patients’ needs and concerns, uphold their autonomy, </w:t>
      </w:r>
      <w:r w:rsidR="00776BF4">
        <w:rPr>
          <w:rFonts w:ascii="Times New Roman" w:hAnsi="Times New Roman" w:cs="Times New Roman"/>
          <w:sz w:val="24"/>
          <w:szCs w:val="24"/>
        </w:rPr>
        <w:t xml:space="preserve">and </w:t>
      </w:r>
      <w:r w:rsidR="00F04F9E">
        <w:rPr>
          <w:rFonts w:ascii="Times New Roman" w:hAnsi="Times New Roman" w:cs="Times New Roman"/>
          <w:sz w:val="24"/>
          <w:szCs w:val="24"/>
        </w:rPr>
        <w:t>empower them in the decision-making process.</w:t>
      </w:r>
      <w:r w:rsidR="00776BF4">
        <w:rPr>
          <w:rFonts w:ascii="Times New Roman" w:hAnsi="Times New Roman" w:cs="Times New Roman"/>
          <w:sz w:val="24"/>
          <w:szCs w:val="24"/>
        </w:rPr>
        <w:t xml:space="preserve"> Notably, this is essential considering that presumptions of mental capacity may potentiate undermining of patients’ autonomy. My belief is that listening to patients’ perspectives and aligning care with the needs and preferences they express would ensure quality, timely, effective, and patient-centered mental health care. </w:t>
      </w:r>
    </w:p>
    <w:p w14:paraId="612A229E" w14:textId="4076EE36" w:rsidR="00574B4F" w:rsidRDefault="00776BF4" w:rsidP="00D721E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addition, my philosophy emphasizes serving as a supportive, empowering, and inspiring DNP-prepared nurse leader. The literature identifies DNP-prepared nurses as capable leaders with advanced knowledge and expertise that can result in transformative changes within </w:t>
      </w:r>
      <w:r>
        <w:rPr>
          <w:rFonts w:ascii="Times New Roman" w:hAnsi="Times New Roman" w:cs="Times New Roman"/>
          <w:sz w:val="24"/>
          <w:szCs w:val="24"/>
        </w:rPr>
        <w:lastRenderedPageBreak/>
        <w:t>the care system (</w:t>
      </w:r>
      <w:r w:rsidRPr="00D721E9">
        <w:rPr>
          <w:rFonts w:ascii="Times New Roman" w:hAnsi="Times New Roman" w:cs="Times New Roman"/>
          <w:sz w:val="24"/>
          <w:szCs w:val="24"/>
        </w:rPr>
        <w:t xml:space="preserve">Hampton et al., 2022; </w:t>
      </w:r>
      <w:proofErr w:type="spellStart"/>
      <w:r w:rsidRPr="00D721E9">
        <w:rPr>
          <w:rFonts w:ascii="Times New Roman" w:hAnsi="Times New Roman" w:cs="Times New Roman"/>
          <w:sz w:val="24"/>
          <w:szCs w:val="24"/>
        </w:rPr>
        <w:t>Rivaz</w:t>
      </w:r>
      <w:proofErr w:type="spellEnd"/>
      <w:r w:rsidRPr="00D721E9">
        <w:rPr>
          <w:rFonts w:ascii="Times New Roman" w:hAnsi="Times New Roman" w:cs="Times New Roman"/>
          <w:sz w:val="24"/>
          <w:szCs w:val="24"/>
        </w:rPr>
        <w:t xml:space="preserve"> et al., 2021</w:t>
      </w:r>
      <w:r>
        <w:rPr>
          <w:rFonts w:ascii="Times New Roman" w:hAnsi="Times New Roman" w:cs="Times New Roman"/>
          <w:sz w:val="24"/>
          <w:szCs w:val="24"/>
        </w:rPr>
        <w:t xml:space="preserve">). </w:t>
      </w:r>
      <w:r w:rsidR="00E460BE">
        <w:rPr>
          <w:rFonts w:ascii="Times New Roman" w:hAnsi="Times New Roman" w:cs="Times New Roman"/>
          <w:sz w:val="24"/>
          <w:szCs w:val="24"/>
        </w:rPr>
        <w:t xml:space="preserve">Based on my understanding of the role of nurses as a bridge between patients and the care system, I will constantly empower the nursing staff to ensure their practices align with patients’ needs. A notable area of focus will be advocating diversity, equity, and inclusion in workforce recruitment, development, and retention. Consistent with </w:t>
      </w:r>
      <w:r w:rsidR="00E460BE" w:rsidRPr="00D721E9">
        <w:rPr>
          <w:rFonts w:ascii="Times New Roman" w:hAnsi="Times New Roman" w:cs="Times New Roman"/>
          <w:sz w:val="24"/>
          <w:szCs w:val="24"/>
        </w:rPr>
        <w:t>Valdez et al. (2022</w:t>
      </w:r>
      <w:r w:rsidR="00E460BE">
        <w:rPr>
          <w:rFonts w:ascii="Times New Roman" w:hAnsi="Times New Roman" w:cs="Times New Roman"/>
          <w:sz w:val="24"/>
          <w:szCs w:val="24"/>
        </w:rPr>
        <w:t xml:space="preserve">), these efforts will ensure continued emphasis on creating a diverse workforce capable of meeting the changing population health needs. I will mentor, train, and support other nurses in issues such as cultural competence, considering the implications on access to care. Advocating a culturally competent nursing workforce will ensure the nurses can serve patients from diverse backgrounds without implicit biases. Consequently, this will contribute significantly to improving health care equity. </w:t>
      </w:r>
    </w:p>
    <w:p w14:paraId="2D9D6B0E" w14:textId="151FD661" w:rsidR="00E460BE" w:rsidRDefault="00E460BE" w:rsidP="00D721E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w:t>
      </w:r>
      <w:r w:rsidR="00D721E9">
        <w:rPr>
          <w:rFonts w:ascii="Times New Roman" w:hAnsi="Times New Roman" w:cs="Times New Roman"/>
          <w:sz w:val="24"/>
          <w:szCs w:val="24"/>
        </w:rPr>
        <w:t>t is my philosophy</w:t>
      </w:r>
      <w:r>
        <w:rPr>
          <w:rFonts w:ascii="Times New Roman" w:hAnsi="Times New Roman" w:cs="Times New Roman"/>
          <w:sz w:val="24"/>
          <w:szCs w:val="24"/>
        </w:rPr>
        <w:t xml:space="preserve"> that DNP-prepare nurse leaders should champion the implementation of innovative care models to improve care quality, safety, a</w:t>
      </w:r>
      <w:r w:rsidR="00D721E9">
        <w:rPr>
          <w:rFonts w:ascii="Times New Roman" w:hAnsi="Times New Roman" w:cs="Times New Roman"/>
          <w:sz w:val="24"/>
          <w:szCs w:val="24"/>
        </w:rPr>
        <w:t>nd effectiveness. The advanced knowledge acquired through the degree program creates a professional identity of DNP-prepared nurses as champions of change (</w:t>
      </w:r>
      <w:r w:rsidR="00D721E9" w:rsidRPr="00D721E9">
        <w:rPr>
          <w:rFonts w:ascii="Times New Roman" w:hAnsi="Times New Roman" w:cs="Times New Roman"/>
          <w:sz w:val="24"/>
          <w:szCs w:val="24"/>
        </w:rPr>
        <w:t>Mbalinda et al., 2023).</w:t>
      </w:r>
      <w:r w:rsidR="00D721E9">
        <w:rPr>
          <w:rFonts w:ascii="Times New Roman" w:hAnsi="Times New Roman" w:cs="Times New Roman"/>
          <w:sz w:val="24"/>
          <w:szCs w:val="24"/>
        </w:rPr>
        <w:t xml:space="preserve"> Consequently, I intend to use the advanced knowledge towards expanding access to mental health care, including advocating psychotherapy as an alternative to medications. Besides, I believe that collaborating with other stakeholders and leading multidisciplinary teams could foster the identification of practice gaps and inform the implementation of innovative solutions. </w:t>
      </w:r>
    </w:p>
    <w:p w14:paraId="016FF613" w14:textId="6CF82B95" w:rsidR="00D721E9" w:rsidRDefault="00D721E9" w:rsidP="00D721E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Overall, my philosophy is to ensure safety, timeliness, efficiency, effectiveness, equitability, and patient-centeredness of care through working collaboratively with patients and other healthcare professionals. Sharing decisions with patients will be critical to prioritizing their needs and giving them a voice in care decisions. In addition, leading multidisciplinary teams will ensure an ongoing evaluation of practice gaps and implementation of innovative solutions.</w:t>
      </w:r>
    </w:p>
    <w:p w14:paraId="07ACDDD5" w14:textId="151C001D" w:rsidR="00D721E9" w:rsidRDefault="00D721E9" w:rsidP="00D721E9">
      <w:pPr>
        <w:spacing w:after="0" w:line="48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lastRenderedPageBreak/>
        <w:t xml:space="preserve">References </w:t>
      </w:r>
    </w:p>
    <w:p w14:paraId="452E2356"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r w:rsidRPr="00D721E9">
        <w:rPr>
          <w:rFonts w:ascii="Times New Roman" w:hAnsi="Times New Roman" w:cs="Times New Roman"/>
          <w:color w:val="1B1B1B"/>
          <w:sz w:val="24"/>
          <w:szCs w:val="24"/>
          <w:shd w:val="clear" w:color="auto" w:fill="FFFFFF"/>
        </w:rPr>
        <w:t xml:space="preserve">Chen, M., </w:t>
      </w:r>
      <w:proofErr w:type="spellStart"/>
      <w:r w:rsidRPr="00D721E9">
        <w:rPr>
          <w:rFonts w:ascii="Times New Roman" w:hAnsi="Times New Roman" w:cs="Times New Roman"/>
          <w:color w:val="1B1B1B"/>
          <w:sz w:val="24"/>
          <w:szCs w:val="24"/>
          <w:shd w:val="clear" w:color="auto" w:fill="FFFFFF"/>
        </w:rPr>
        <w:t>Sepucha</w:t>
      </w:r>
      <w:proofErr w:type="spellEnd"/>
      <w:r w:rsidRPr="00D721E9">
        <w:rPr>
          <w:rFonts w:ascii="Times New Roman" w:hAnsi="Times New Roman" w:cs="Times New Roman"/>
          <w:color w:val="1B1B1B"/>
          <w:sz w:val="24"/>
          <w:szCs w:val="24"/>
          <w:shd w:val="clear" w:color="auto" w:fill="FFFFFF"/>
        </w:rPr>
        <w:t xml:space="preserve">, K., </w:t>
      </w:r>
      <w:proofErr w:type="spellStart"/>
      <w:r w:rsidRPr="00D721E9">
        <w:rPr>
          <w:rFonts w:ascii="Times New Roman" w:hAnsi="Times New Roman" w:cs="Times New Roman"/>
          <w:color w:val="1B1B1B"/>
          <w:sz w:val="24"/>
          <w:szCs w:val="24"/>
          <w:shd w:val="clear" w:color="auto" w:fill="FFFFFF"/>
        </w:rPr>
        <w:t>Bozic</w:t>
      </w:r>
      <w:proofErr w:type="spellEnd"/>
      <w:r w:rsidRPr="00D721E9">
        <w:rPr>
          <w:rFonts w:ascii="Times New Roman" w:hAnsi="Times New Roman" w:cs="Times New Roman"/>
          <w:color w:val="1B1B1B"/>
          <w:sz w:val="24"/>
          <w:szCs w:val="24"/>
          <w:shd w:val="clear" w:color="auto" w:fill="FFFFFF"/>
        </w:rPr>
        <w:t xml:space="preserve">, K. J., &amp; Jayakumar, P. (2023). Value-based </w:t>
      </w:r>
      <w:r w:rsidRPr="00D721E9">
        <w:rPr>
          <w:rFonts w:ascii="Times New Roman" w:hAnsi="Times New Roman" w:cs="Times New Roman"/>
          <w:color w:val="1B1B1B"/>
          <w:sz w:val="24"/>
          <w:szCs w:val="24"/>
          <w:shd w:val="clear" w:color="auto" w:fill="FFFFFF"/>
        </w:rPr>
        <w:t>healthcare</w:t>
      </w:r>
      <w:r w:rsidRPr="00D721E9">
        <w:rPr>
          <w:rFonts w:ascii="Times New Roman" w:hAnsi="Times New Roman" w:cs="Times New Roman"/>
          <w:color w:val="1B1B1B"/>
          <w:sz w:val="24"/>
          <w:szCs w:val="24"/>
          <w:shd w:val="clear" w:color="auto" w:fill="FFFFFF"/>
        </w:rPr>
        <w:t xml:space="preserve">: Integrating </w:t>
      </w:r>
      <w:r w:rsidRPr="00D721E9">
        <w:rPr>
          <w:rFonts w:ascii="Times New Roman" w:hAnsi="Times New Roman" w:cs="Times New Roman"/>
          <w:color w:val="1B1B1B"/>
          <w:sz w:val="24"/>
          <w:szCs w:val="24"/>
          <w:shd w:val="clear" w:color="auto" w:fill="FFFFFF"/>
        </w:rPr>
        <w:t>shared decision-making into clinical practice</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 xml:space="preserve">Clinical </w:t>
      </w:r>
      <w:proofErr w:type="spellStart"/>
      <w:r w:rsidRPr="00D721E9">
        <w:rPr>
          <w:rFonts w:ascii="Times New Roman" w:hAnsi="Times New Roman" w:cs="Times New Roman"/>
          <w:i/>
          <w:iCs/>
          <w:color w:val="1B1B1B"/>
          <w:sz w:val="24"/>
          <w:szCs w:val="24"/>
          <w:shd w:val="clear" w:color="auto" w:fill="FFFFFF"/>
        </w:rPr>
        <w:t>Orthopaedics</w:t>
      </w:r>
      <w:proofErr w:type="spellEnd"/>
      <w:r w:rsidRPr="00D721E9">
        <w:rPr>
          <w:rFonts w:ascii="Times New Roman" w:hAnsi="Times New Roman" w:cs="Times New Roman"/>
          <w:i/>
          <w:iCs/>
          <w:color w:val="1B1B1B"/>
          <w:sz w:val="24"/>
          <w:szCs w:val="24"/>
          <w:shd w:val="clear" w:color="auto" w:fill="FFFFFF"/>
        </w:rPr>
        <w:t xml:space="preserve"> </w:t>
      </w:r>
      <w:r w:rsidRPr="00D721E9">
        <w:rPr>
          <w:rFonts w:ascii="Times New Roman" w:hAnsi="Times New Roman" w:cs="Times New Roman"/>
          <w:i/>
          <w:iCs/>
          <w:color w:val="1B1B1B"/>
          <w:sz w:val="24"/>
          <w:szCs w:val="24"/>
          <w:shd w:val="clear" w:color="auto" w:fill="FFFFFF"/>
        </w:rPr>
        <w:t xml:space="preserve">and </w:t>
      </w:r>
      <w:r w:rsidRPr="00D721E9">
        <w:rPr>
          <w:rFonts w:ascii="Times New Roman" w:hAnsi="Times New Roman" w:cs="Times New Roman"/>
          <w:i/>
          <w:iCs/>
          <w:color w:val="1B1B1B"/>
          <w:sz w:val="24"/>
          <w:szCs w:val="24"/>
          <w:shd w:val="clear" w:color="auto" w:fill="FFFFFF"/>
        </w:rPr>
        <w:t>Related Research</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481</w:t>
      </w:r>
      <w:r w:rsidRPr="00D721E9">
        <w:rPr>
          <w:rFonts w:ascii="Times New Roman" w:hAnsi="Times New Roman" w:cs="Times New Roman"/>
          <w:color w:val="1B1B1B"/>
          <w:sz w:val="24"/>
          <w:szCs w:val="24"/>
          <w:shd w:val="clear" w:color="auto" w:fill="FFFFFF"/>
        </w:rPr>
        <w:t xml:space="preserve">(3), 448–450. </w:t>
      </w:r>
      <w:hyperlink r:id="rId6" w:history="1">
        <w:r w:rsidRPr="00D721E9">
          <w:rPr>
            <w:rStyle w:val="Hyperlink"/>
            <w:rFonts w:ascii="Times New Roman" w:hAnsi="Times New Roman" w:cs="Times New Roman"/>
            <w:sz w:val="24"/>
            <w:szCs w:val="24"/>
            <w:shd w:val="clear" w:color="auto" w:fill="FFFFFF"/>
          </w:rPr>
          <w:t>https://doi.org/10.1097/CORR.0000000000002580</w:t>
        </w:r>
      </w:hyperlink>
      <w:r w:rsidRPr="00D721E9">
        <w:rPr>
          <w:rFonts w:ascii="Times New Roman" w:hAnsi="Times New Roman" w:cs="Times New Roman"/>
          <w:color w:val="1B1B1B"/>
          <w:sz w:val="24"/>
          <w:szCs w:val="24"/>
          <w:shd w:val="clear" w:color="auto" w:fill="FFFFFF"/>
        </w:rPr>
        <w:t xml:space="preserve"> </w:t>
      </w:r>
    </w:p>
    <w:p w14:paraId="160E633A"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r w:rsidRPr="00D721E9">
        <w:rPr>
          <w:rFonts w:ascii="Times New Roman" w:hAnsi="Times New Roman" w:cs="Times New Roman"/>
          <w:color w:val="1B1B1B"/>
          <w:sz w:val="24"/>
          <w:szCs w:val="24"/>
          <w:shd w:val="clear" w:color="auto" w:fill="FFFFFF"/>
        </w:rPr>
        <w:t>Hampton, D., Heath, J., &amp; Rayens, M. K. (2022). Strengthening professional values of doctoral-level nursing students. </w:t>
      </w:r>
      <w:r w:rsidRPr="00D721E9">
        <w:rPr>
          <w:rFonts w:ascii="Times New Roman" w:hAnsi="Times New Roman" w:cs="Times New Roman"/>
          <w:i/>
          <w:iCs/>
          <w:color w:val="1B1B1B"/>
          <w:sz w:val="24"/>
          <w:szCs w:val="24"/>
          <w:shd w:val="clear" w:color="auto" w:fill="FFFFFF"/>
        </w:rPr>
        <w:t>SAGE Open Nursing</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8</w:t>
      </w:r>
      <w:r w:rsidRPr="00D721E9">
        <w:rPr>
          <w:rFonts w:ascii="Times New Roman" w:hAnsi="Times New Roman" w:cs="Times New Roman"/>
          <w:color w:val="1B1B1B"/>
          <w:sz w:val="24"/>
          <w:szCs w:val="24"/>
          <w:shd w:val="clear" w:color="auto" w:fill="FFFFFF"/>
        </w:rPr>
        <w:t xml:space="preserve">, 23779608221126359. </w:t>
      </w:r>
      <w:hyperlink r:id="rId7" w:history="1">
        <w:r w:rsidRPr="00D721E9">
          <w:rPr>
            <w:rStyle w:val="Hyperlink"/>
            <w:rFonts w:ascii="Times New Roman" w:hAnsi="Times New Roman" w:cs="Times New Roman"/>
            <w:sz w:val="24"/>
            <w:szCs w:val="24"/>
            <w:shd w:val="clear" w:color="auto" w:fill="FFFFFF"/>
          </w:rPr>
          <w:t>https://doi.org/10.1177/23779608221126359</w:t>
        </w:r>
      </w:hyperlink>
      <w:r w:rsidRPr="00D721E9">
        <w:rPr>
          <w:rFonts w:ascii="Times New Roman" w:hAnsi="Times New Roman" w:cs="Times New Roman"/>
          <w:color w:val="1B1B1B"/>
          <w:sz w:val="24"/>
          <w:szCs w:val="24"/>
          <w:shd w:val="clear" w:color="auto" w:fill="FFFFFF"/>
        </w:rPr>
        <w:t xml:space="preserve"> </w:t>
      </w:r>
    </w:p>
    <w:p w14:paraId="41015866"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r w:rsidRPr="00D721E9">
        <w:rPr>
          <w:rFonts w:ascii="Times New Roman" w:hAnsi="Times New Roman" w:cs="Times New Roman"/>
          <w:color w:val="1B1B1B"/>
          <w:sz w:val="24"/>
          <w:szCs w:val="24"/>
          <w:shd w:val="clear" w:color="auto" w:fill="FFFFFF"/>
        </w:rPr>
        <w:t>Mbalinda, S. N., Najjuma, J. N., Gonzaga, A. M., Livingstone, K., &amp; Musoke, D. (2024). Understanding and barriers of professional identity formation among current students and recent graduates in nursing and midwifery in low resource settings in two universities: a qualitative study. </w:t>
      </w:r>
      <w:r w:rsidRPr="00D721E9">
        <w:rPr>
          <w:rFonts w:ascii="Times New Roman" w:hAnsi="Times New Roman" w:cs="Times New Roman"/>
          <w:i/>
          <w:iCs/>
          <w:color w:val="1B1B1B"/>
          <w:sz w:val="24"/>
          <w:szCs w:val="24"/>
          <w:shd w:val="clear" w:color="auto" w:fill="FFFFFF"/>
        </w:rPr>
        <w:t>BMC Nursing</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23</w:t>
      </w:r>
      <w:r w:rsidRPr="00D721E9">
        <w:rPr>
          <w:rFonts w:ascii="Times New Roman" w:hAnsi="Times New Roman" w:cs="Times New Roman"/>
          <w:color w:val="1B1B1B"/>
          <w:sz w:val="24"/>
          <w:szCs w:val="24"/>
          <w:shd w:val="clear" w:color="auto" w:fill="FFFFFF"/>
        </w:rPr>
        <w:t xml:space="preserve">(1), 146. </w:t>
      </w:r>
      <w:hyperlink r:id="rId8" w:history="1">
        <w:r w:rsidRPr="00D721E9">
          <w:rPr>
            <w:rStyle w:val="Hyperlink"/>
            <w:rFonts w:ascii="Times New Roman" w:hAnsi="Times New Roman" w:cs="Times New Roman"/>
            <w:sz w:val="24"/>
            <w:szCs w:val="24"/>
            <w:shd w:val="clear" w:color="auto" w:fill="FFFFFF"/>
          </w:rPr>
          <w:t>https://doi.org/10.1186/s12912-024-01795-2</w:t>
        </w:r>
      </w:hyperlink>
      <w:r w:rsidRPr="00D721E9">
        <w:rPr>
          <w:rFonts w:ascii="Times New Roman" w:hAnsi="Times New Roman" w:cs="Times New Roman"/>
          <w:color w:val="1B1B1B"/>
          <w:sz w:val="24"/>
          <w:szCs w:val="24"/>
          <w:shd w:val="clear" w:color="auto" w:fill="FFFFFF"/>
        </w:rPr>
        <w:t xml:space="preserve"> </w:t>
      </w:r>
    </w:p>
    <w:p w14:paraId="6BA920F6"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r w:rsidRPr="00D721E9">
        <w:rPr>
          <w:rFonts w:ascii="Times New Roman" w:hAnsi="Times New Roman" w:cs="Times New Roman"/>
          <w:color w:val="1B1B1B"/>
          <w:sz w:val="24"/>
          <w:szCs w:val="24"/>
          <w:shd w:val="clear" w:color="auto" w:fill="FFFFFF"/>
        </w:rPr>
        <w:t xml:space="preserve">McKenna, L., </w:t>
      </w:r>
      <w:proofErr w:type="spellStart"/>
      <w:r w:rsidRPr="00D721E9">
        <w:rPr>
          <w:rFonts w:ascii="Times New Roman" w:hAnsi="Times New Roman" w:cs="Times New Roman"/>
          <w:color w:val="1B1B1B"/>
          <w:sz w:val="24"/>
          <w:szCs w:val="24"/>
          <w:shd w:val="clear" w:color="auto" w:fill="FFFFFF"/>
        </w:rPr>
        <w:t>Mambu</w:t>
      </w:r>
      <w:proofErr w:type="spellEnd"/>
      <w:r w:rsidRPr="00D721E9">
        <w:rPr>
          <w:rFonts w:ascii="Times New Roman" w:hAnsi="Times New Roman" w:cs="Times New Roman"/>
          <w:color w:val="1B1B1B"/>
          <w:sz w:val="24"/>
          <w:szCs w:val="24"/>
          <w:shd w:val="clear" w:color="auto" w:fill="FFFFFF"/>
        </w:rPr>
        <w:t xml:space="preserve">, I. R., Sommers, C. L., </w:t>
      </w:r>
      <w:proofErr w:type="spellStart"/>
      <w:r w:rsidRPr="00D721E9">
        <w:rPr>
          <w:rFonts w:ascii="Times New Roman" w:hAnsi="Times New Roman" w:cs="Times New Roman"/>
          <w:color w:val="1B1B1B"/>
          <w:sz w:val="24"/>
          <w:szCs w:val="24"/>
          <w:shd w:val="clear" w:color="auto" w:fill="FFFFFF"/>
        </w:rPr>
        <w:t>Reisenhofer</w:t>
      </w:r>
      <w:proofErr w:type="spellEnd"/>
      <w:r w:rsidRPr="00D721E9">
        <w:rPr>
          <w:rFonts w:ascii="Times New Roman" w:hAnsi="Times New Roman" w:cs="Times New Roman"/>
          <w:color w:val="1B1B1B"/>
          <w:sz w:val="24"/>
          <w:szCs w:val="24"/>
          <w:shd w:val="clear" w:color="auto" w:fill="FFFFFF"/>
        </w:rPr>
        <w:t xml:space="preserve">, S., &amp; McCaughan, J. (2023). Nurses' and nursing students' reasons for entering the profession: </w:t>
      </w:r>
      <w:r w:rsidRPr="00D721E9">
        <w:rPr>
          <w:rFonts w:ascii="Times New Roman" w:hAnsi="Times New Roman" w:cs="Times New Roman"/>
          <w:color w:val="1B1B1B"/>
          <w:sz w:val="24"/>
          <w:szCs w:val="24"/>
          <w:shd w:val="clear" w:color="auto" w:fill="FFFFFF"/>
        </w:rPr>
        <w:t>C</w:t>
      </w:r>
      <w:r w:rsidRPr="00D721E9">
        <w:rPr>
          <w:rFonts w:ascii="Times New Roman" w:hAnsi="Times New Roman" w:cs="Times New Roman"/>
          <w:color w:val="1B1B1B"/>
          <w:sz w:val="24"/>
          <w:szCs w:val="24"/>
          <w:shd w:val="clear" w:color="auto" w:fill="FFFFFF"/>
        </w:rPr>
        <w:t>ontent analysis of open-ended questions. </w:t>
      </w:r>
      <w:r w:rsidRPr="00D721E9">
        <w:rPr>
          <w:rFonts w:ascii="Times New Roman" w:hAnsi="Times New Roman" w:cs="Times New Roman"/>
          <w:i/>
          <w:iCs/>
          <w:color w:val="1B1B1B"/>
          <w:sz w:val="24"/>
          <w:szCs w:val="24"/>
          <w:shd w:val="clear" w:color="auto" w:fill="FFFFFF"/>
        </w:rPr>
        <w:t xml:space="preserve">BMC </w:t>
      </w:r>
      <w:r w:rsidRPr="00D721E9">
        <w:rPr>
          <w:rFonts w:ascii="Times New Roman" w:hAnsi="Times New Roman" w:cs="Times New Roman"/>
          <w:i/>
          <w:iCs/>
          <w:color w:val="1B1B1B"/>
          <w:sz w:val="24"/>
          <w:szCs w:val="24"/>
          <w:shd w:val="clear" w:color="auto" w:fill="FFFFFF"/>
        </w:rPr>
        <w:t>Nursing</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22</w:t>
      </w:r>
      <w:r w:rsidRPr="00D721E9">
        <w:rPr>
          <w:rFonts w:ascii="Times New Roman" w:hAnsi="Times New Roman" w:cs="Times New Roman"/>
          <w:color w:val="1B1B1B"/>
          <w:sz w:val="24"/>
          <w:szCs w:val="24"/>
          <w:shd w:val="clear" w:color="auto" w:fill="FFFFFF"/>
        </w:rPr>
        <w:t xml:space="preserve">(1), 152. </w:t>
      </w:r>
      <w:hyperlink r:id="rId9" w:history="1">
        <w:r w:rsidRPr="00D721E9">
          <w:rPr>
            <w:rStyle w:val="Hyperlink"/>
            <w:rFonts w:ascii="Times New Roman" w:hAnsi="Times New Roman" w:cs="Times New Roman"/>
            <w:sz w:val="24"/>
            <w:szCs w:val="24"/>
            <w:shd w:val="clear" w:color="auto" w:fill="FFFFFF"/>
          </w:rPr>
          <w:t>https://doi.org/10.1186/s12912-023-01307-8</w:t>
        </w:r>
      </w:hyperlink>
      <w:r w:rsidRPr="00D721E9">
        <w:rPr>
          <w:rFonts w:ascii="Times New Roman" w:hAnsi="Times New Roman" w:cs="Times New Roman"/>
          <w:color w:val="1B1B1B"/>
          <w:sz w:val="24"/>
          <w:szCs w:val="24"/>
          <w:shd w:val="clear" w:color="auto" w:fill="FFFFFF"/>
        </w:rPr>
        <w:t xml:space="preserve"> </w:t>
      </w:r>
    </w:p>
    <w:p w14:paraId="52626A63"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proofErr w:type="spellStart"/>
      <w:r w:rsidRPr="00D721E9">
        <w:rPr>
          <w:rFonts w:ascii="Times New Roman" w:hAnsi="Times New Roman" w:cs="Times New Roman"/>
          <w:color w:val="1B1B1B"/>
          <w:sz w:val="24"/>
          <w:szCs w:val="24"/>
          <w:shd w:val="clear" w:color="auto" w:fill="FFFFFF"/>
        </w:rPr>
        <w:t>Montori</w:t>
      </w:r>
      <w:proofErr w:type="spellEnd"/>
      <w:r w:rsidRPr="00D721E9">
        <w:rPr>
          <w:rFonts w:ascii="Times New Roman" w:hAnsi="Times New Roman" w:cs="Times New Roman"/>
          <w:color w:val="1B1B1B"/>
          <w:sz w:val="24"/>
          <w:szCs w:val="24"/>
          <w:shd w:val="clear" w:color="auto" w:fill="FFFFFF"/>
        </w:rPr>
        <w:t xml:space="preserve">, V. M., </w:t>
      </w:r>
      <w:proofErr w:type="spellStart"/>
      <w:r w:rsidRPr="00D721E9">
        <w:rPr>
          <w:rFonts w:ascii="Times New Roman" w:hAnsi="Times New Roman" w:cs="Times New Roman"/>
          <w:color w:val="1B1B1B"/>
          <w:sz w:val="24"/>
          <w:szCs w:val="24"/>
          <w:shd w:val="clear" w:color="auto" w:fill="FFFFFF"/>
        </w:rPr>
        <w:t>Ruissen</w:t>
      </w:r>
      <w:proofErr w:type="spellEnd"/>
      <w:r w:rsidRPr="00D721E9">
        <w:rPr>
          <w:rFonts w:ascii="Times New Roman" w:hAnsi="Times New Roman" w:cs="Times New Roman"/>
          <w:color w:val="1B1B1B"/>
          <w:sz w:val="24"/>
          <w:szCs w:val="24"/>
          <w:shd w:val="clear" w:color="auto" w:fill="FFFFFF"/>
        </w:rPr>
        <w:t xml:space="preserve">, M. M., Hargraves, I. G., Brito, J. P., &amp; </w:t>
      </w:r>
      <w:proofErr w:type="spellStart"/>
      <w:r w:rsidRPr="00D721E9">
        <w:rPr>
          <w:rFonts w:ascii="Times New Roman" w:hAnsi="Times New Roman" w:cs="Times New Roman"/>
          <w:color w:val="1B1B1B"/>
          <w:sz w:val="24"/>
          <w:szCs w:val="24"/>
          <w:shd w:val="clear" w:color="auto" w:fill="FFFFFF"/>
        </w:rPr>
        <w:t>Kunneman</w:t>
      </w:r>
      <w:proofErr w:type="spellEnd"/>
      <w:r w:rsidRPr="00D721E9">
        <w:rPr>
          <w:rFonts w:ascii="Times New Roman" w:hAnsi="Times New Roman" w:cs="Times New Roman"/>
          <w:color w:val="1B1B1B"/>
          <w:sz w:val="24"/>
          <w:szCs w:val="24"/>
          <w:shd w:val="clear" w:color="auto" w:fill="FFFFFF"/>
        </w:rPr>
        <w:t>, M. (2023). Shared decision-making as a method of care. </w:t>
      </w:r>
      <w:r w:rsidRPr="00D721E9">
        <w:rPr>
          <w:rFonts w:ascii="Times New Roman" w:hAnsi="Times New Roman" w:cs="Times New Roman"/>
          <w:i/>
          <w:iCs/>
          <w:color w:val="1B1B1B"/>
          <w:sz w:val="24"/>
          <w:szCs w:val="24"/>
          <w:shd w:val="clear" w:color="auto" w:fill="FFFFFF"/>
        </w:rPr>
        <w:t xml:space="preserve">BMJ </w:t>
      </w:r>
      <w:r w:rsidRPr="00D721E9">
        <w:rPr>
          <w:rFonts w:ascii="Times New Roman" w:hAnsi="Times New Roman" w:cs="Times New Roman"/>
          <w:i/>
          <w:iCs/>
          <w:color w:val="1B1B1B"/>
          <w:sz w:val="24"/>
          <w:szCs w:val="24"/>
          <w:shd w:val="clear" w:color="auto" w:fill="FFFFFF"/>
        </w:rPr>
        <w:t>Evidence-Based Medicine</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28</w:t>
      </w:r>
      <w:r w:rsidRPr="00D721E9">
        <w:rPr>
          <w:rFonts w:ascii="Times New Roman" w:hAnsi="Times New Roman" w:cs="Times New Roman"/>
          <w:color w:val="1B1B1B"/>
          <w:sz w:val="24"/>
          <w:szCs w:val="24"/>
          <w:shd w:val="clear" w:color="auto" w:fill="FFFFFF"/>
        </w:rPr>
        <w:t xml:space="preserve">(4), 213–217. </w:t>
      </w:r>
      <w:hyperlink r:id="rId10" w:history="1">
        <w:r w:rsidRPr="00D721E9">
          <w:rPr>
            <w:rStyle w:val="Hyperlink"/>
            <w:rFonts w:ascii="Times New Roman" w:hAnsi="Times New Roman" w:cs="Times New Roman"/>
            <w:sz w:val="24"/>
            <w:szCs w:val="24"/>
            <w:shd w:val="clear" w:color="auto" w:fill="FFFFFF"/>
          </w:rPr>
          <w:t>https://doi.org/10.1136/bmjebm-2022-112068</w:t>
        </w:r>
      </w:hyperlink>
      <w:r w:rsidRPr="00D721E9">
        <w:rPr>
          <w:rFonts w:ascii="Times New Roman" w:hAnsi="Times New Roman" w:cs="Times New Roman"/>
          <w:color w:val="1B1B1B"/>
          <w:sz w:val="24"/>
          <w:szCs w:val="24"/>
          <w:shd w:val="clear" w:color="auto" w:fill="FFFFFF"/>
        </w:rPr>
        <w:t xml:space="preserve"> </w:t>
      </w:r>
    </w:p>
    <w:p w14:paraId="24983CE5"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r w:rsidRPr="00D721E9">
        <w:rPr>
          <w:rFonts w:ascii="Times New Roman" w:hAnsi="Times New Roman" w:cs="Times New Roman"/>
          <w:color w:val="1B1B1B"/>
          <w:sz w:val="24"/>
          <w:szCs w:val="24"/>
          <w:shd w:val="clear" w:color="auto" w:fill="FFFFFF"/>
        </w:rPr>
        <w:t xml:space="preserve">National Academies of Science, Engineering, and Medicine. (2021). </w:t>
      </w:r>
      <w:r w:rsidRPr="00D721E9">
        <w:rPr>
          <w:rFonts w:ascii="Times New Roman" w:hAnsi="Times New Roman" w:cs="Times New Roman"/>
          <w:i/>
          <w:color w:val="1B1B1B"/>
          <w:sz w:val="24"/>
          <w:szCs w:val="24"/>
          <w:shd w:val="clear" w:color="auto" w:fill="FFFFFF"/>
        </w:rPr>
        <w:t xml:space="preserve">The future of nursing 2020-2030: Charting a path to achieve health equity. </w:t>
      </w:r>
      <w:r w:rsidRPr="00D721E9">
        <w:rPr>
          <w:rFonts w:ascii="Times New Roman" w:hAnsi="Times New Roman" w:cs="Times New Roman"/>
          <w:color w:val="1B1B1B"/>
          <w:sz w:val="24"/>
          <w:szCs w:val="24"/>
          <w:shd w:val="clear" w:color="auto" w:fill="FFFFFF"/>
        </w:rPr>
        <w:t xml:space="preserve">The National Academies Press. </w:t>
      </w:r>
      <w:hyperlink r:id="rId11" w:history="1">
        <w:r w:rsidRPr="00D721E9">
          <w:rPr>
            <w:rStyle w:val="Hyperlink"/>
            <w:rFonts w:ascii="Times New Roman" w:hAnsi="Times New Roman" w:cs="Times New Roman"/>
            <w:sz w:val="24"/>
            <w:szCs w:val="24"/>
            <w:shd w:val="clear" w:color="auto" w:fill="FFFFFF"/>
          </w:rPr>
          <w:t>https://doi.org/10.17226/25982</w:t>
        </w:r>
      </w:hyperlink>
      <w:r w:rsidRPr="00D721E9">
        <w:rPr>
          <w:rFonts w:ascii="Times New Roman" w:hAnsi="Times New Roman" w:cs="Times New Roman"/>
          <w:color w:val="1B1B1B"/>
          <w:sz w:val="24"/>
          <w:szCs w:val="24"/>
          <w:shd w:val="clear" w:color="auto" w:fill="FFFFFF"/>
        </w:rPr>
        <w:t xml:space="preserve"> </w:t>
      </w:r>
    </w:p>
    <w:p w14:paraId="7F64EA5D" w14:textId="77777777" w:rsidR="00D721E9" w:rsidRPr="00D721E9" w:rsidRDefault="00D721E9" w:rsidP="00D721E9">
      <w:pPr>
        <w:spacing w:after="0" w:line="480" w:lineRule="auto"/>
        <w:ind w:left="720" w:hanging="720"/>
        <w:rPr>
          <w:rFonts w:ascii="Times New Roman" w:hAnsi="Times New Roman" w:cs="Times New Roman"/>
          <w:color w:val="1B1B1B"/>
          <w:sz w:val="24"/>
          <w:szCs w:val="24"/>
          <w:shd w:val="clear" w:color="auto" w:fill="FFFFFF"/>
        </w:rPr>
      </w:pPr>
      <w:proofErr w:type="spellStart"/>
      <w:r w:rsidRPr="00D721E9">
        <w:rPr>
          <w:rFonts w:ascii="Times New Roman" w:hAnsi="Times New Roman" w:cs="Times New Roman"/>
          <w:color w:val="1B1B1B"/>
          <w:sz w:val="24"/>
          <w:szCs w:val="24"/>
          <w:shd w:val="clear" w:color="auto" w:fill="FFFFFF"/>
        </w:rPr>
        <w:t>Rivaz</w:t>
      </w:r>
      <w:proofErr w:type="spellEnd"/>
      <w:r w:rsidRPr="00D721E9">
        <w:rPr>
          <w:rFonts w:ascii="Times New Roman" w:hAnsi="Times New Roman" w:cs="Times New Roman"/>
          <w:color w:val="1B1B1B"/>
          <w:sz w:val="24"/>
          <w:szCs w:val="24"/>
          <w:shd w:val="clear" w:color="auto" w:fill="FFFFFF"/>
        </w:rPr>
        <w:t xml:space="preserve">, M., </w:t>
      </w:r>
      <w:proofErr w:type="spellStart"/>
      <w:r w:rsidRPr="00D721E9">
        <w:rPr>
          <w:rFonts w:ascii="Times New Roman" w:hAnsi="Times New Roman" w:cs="Times New Roman"/>
          <w:color w:val="1B1B1B"/>
          <w:sz w:val="24"/>
          <w:szCs w:val="24"/>
          <w:shd w:val="clear" w:color="auto" w:fill="FFFFFF"/>
        </w:rPr>
        <w:t>Shokrollahi</w:t>
      </w:r>
      <w:proofErr w:type="spellEnd"/>
      <w:r w:rsidRPr="00D721E9">
        <w:rPr>
          <w:rFonts w:ascii="Times New Roman" w:hAnsi="Times New Roman" w:cs="Times New Roman"/>
          <w:color w:val="1B1B1B"/>
          <w:sz w:val="24"/>
          <w:szCs w:val="24"/>
          <w:shd w:val="clear" w:color="auto" w:fill="FFFFFF"/>
        </w:rPr>
        <w:t xml:space="preserve">, P., </w:t>
      </w:r>
      <w:proofErr w:type="spellStart"/>
      <w:r w:rsidRPr="00D721E9">
        <w:rPr>
          <w:rFonts w:ascii="Times New Roman" w:hAnsi="Times New Roman" w:cs="Times New Roman"/>
          <w:color w:val="1B1B1B"/>
          <w:sz w:val="24"/>
          <w:szCs w:val="24"/>
          <w:shd w:val="clear" w:color="auto" w:fill="FFFFFF"/>
        </w:rPr>
        <w:t>Setoodegan</w:t>
      </w:r>
      <w:proofErr w:type="spellEnd"/>
      <w:r w:rsidRPr="00D721E9">
        <w:rPr>
          <w:rFonts w:ascii="Times New Roman" w:hAnsi="Times New Roman" w:cs="Times New Roman"/>
          <w:color w:val="1B1B1B"/>
          <w:sz w:val="24"/>
          <w:szCs w:val="24"/>
          <w:shd w:val="clear" w:color="auto" w:fill="FFFFFF"/>
        </w:rPr>
        <w:t>, E., &amp; Sharif, F. (2021). Exploring the necessity of establishing a doctor of nursing practice program from experts' views: A qualitative study. </w:t>
      </w:r>
      <w:r w:rsidRPr="00D721E9">
        <w:rPr>
          <w:rFonts w:ascii="Times New Roman" w:hAnsi="Times New Roman" w:cs="Times New Roman"/>
          <w:i/>
          <w:iCs/>
          <w:color w:val="1B1B1B"/>
          <w:sz w:val="24"/>
          <w:szCs w:val="24"/>
          <w:shd w:val="clear" w:color="auto" w:fill="FFFFFF"/>
        </w:rPr>
        <w:t>BMC Medical Education</w:t>
      </w:r>
      <w:r w:rsidRPr="00D721E9">
        <w:rPr>
          <w:rFonts w:ascii="Times New Roman" w:hAnsi="Times New Roman" w:cs="Times New Roman"/>
          <w:color w:val="1B1B1B"/>
          <w:sz w:val="24"/>
          <w:szCs w:val="24"/>
          <w:shd w:val="clear" w:color="auto" w:fill="FFFFFF"/>
        </w:rPr>
        <w:t>, </w:t>
      </w:r>
      <w:r w:rsidRPr="00D721E9">
        <w:rPr>
          <w:rFonts w:ascii="Times New Roman" w:hAnsi="Times New Roman" w:cs="Times New Roman"/>
          <w:i/>
          <w:iCs/>
          <w:color w:val="1B1B1B"/>
          <w:sz w:val="24"/>
          <w:szCs w:val="24"/>
          <w:shd w:val="clear" w:color="auto" w:fill="FFFFFF"/>
        </w:rPr>
        <w:t>21</w:t>
      </w:r>
      <w:r w:rsidRPr="00D721E9">
        <w:rPr>
          <w:rFonts w:ascii="Times New Roman" w:hAnsi="Times New Roman" w:cs="Times New Roman"/>
          <w:color w:val="1B1B1B"/>
          <w:sz w:val="24"/>
          <w:szCs w:val="24"/>
          <w:shd w:val="clear" w:color="auto" w:fill="FFFFFF"/>
        </w:rPr>
        <w:t xml:space="preserve">(1), 328. </w:t>
      </w:r>
      <w:hyperlink r:id="rId12" w:history="1">
        <w:r w:rsidRPr="00D721E9">
          <w:rPr>
            <w:rStyle w:val="Hyperlink"/>
            <w:rFonts w:ascii="Times New Roman" w:hAnsi="Times New Roman" w:cs="Times New Roman"/>
            <w:sz w:val="24"/>
            <w:szCs w:val="24"/>
            <w:shd w:val="clear" w:color="auto" w:fill="FFFFFF"/>
          </w:rPr>
          <w:t>https://doi.org/10.1186/s12909-021-02758-w</w:t>
        </w:r>
      </w:hyperlink>
    </w:p>
    <w:p w14:paraId="5D7FF56F" w14:textId="77777777" w:rsidR="00D721E9" w:rsidRPr="00D721E9" w:rsidRDefault="00D721E9" w:rsidP="00D721E9">
      <w:pPr>
        <w:spacing w:after="0" w:line="480" w:lineRule="auto"/>
        <w:ind w:left="720" w:hanging="720"/>
        <w:rPr>
          <w:rFonts w:ascii="Times New Roman" w:hAnsi="Times New Roman" w:cs="Times New Roman"/>
          <w:color w:val="222222"/>
          <w:sz w:val="24"/>
          <w:szCs w:val="24"/>
          <w:shd w:val="clear" w:color="auto" w:fill="FFFFFF"/>
        </w:rPr>
      </w:pPr>
      <w:r w:rsidRPr="00D721E9">
        <w:rPr>
          <w:rFonts w:ascii="Times New Roman" w:hAnsi="Times New Roman" w:cs="Times New Roman"/>
          <w:color w:val="222222"/>
          <w:sz w:val="24"/>
          <w:szCs w:val="24"/>
          <w:shd w:val="clear" w:color="auto" w:fill="FFFFFF"/>
        </w:rPr>
        <w:lastRenderedPageBreak/>
        <w:t>Valdez, A., Fontenot, J., Millan, A., &amp; McMurray, P. (2023). Knowledge, skills, and attitudes about diversity, equity, and inclusion among nurse educators. </w:t>
      </w:r>
      <w:r w:rsidRPr="00D721E9">
        <w:rPr>
          <w:rFonts w:ascii="Times New Roman" w:hAnsi="Times New Roman" w:cs="Times New Roman"/>
          <w:i/>
          <w:iCs/>
          <w:color w:val="222222"/>
          <w:sz w:val="24"/>
          <w:szCs w:val="24"/>
          <w:shd w:val="clear" w:color="auto" w:fill="FFFFFF"/>
        </w:rPr>
        <w:t>Teaching and Learning in Nursing</w:t>
      </w:r>
      <w:r w:rsidRPr="00D721E9">
        <w:rPr>
          <w:rFonts w:ascii="Times New Roman" w:hAnsi="Times New Roman" w:cs="Times New Roman"/>
          <w:color w:val="222222"/>
          <w:sz w:val="24"/>
          <w:szCs w:val="24"/>
          <w:shd w:val="clear" w:color="auto" w:fill="FFFFFF"/>
        </w:rPr>
        <w:t>, </w:t>
      </w:r>
      <w:r w:rsidRPr="00D721E9">
        <w:rPr>
          <w:rFonts w:ascii="Times New Roman" w:hAnsi="Times New Roman" w:cs="Times New Roman"/>
          <w:i/>
          <w:iCs/>
          <w:color w:val="222222"/>
          <w:sz w:val="24"/>
          <w:szCs w:val="24"/>
          <w:shd w:val="clear" w:color="auto" w:fill="FFFFFF"/>
        </w:rPr>
        <w:t>18</w:t>
      </w:r>
      <w:r w:rsidRPr="00D721E9">
        <w:rPr>
          <w:rFonts w:ascii="Times New Roman" w:hAnsi="Times New Roman" w:cs="Times New Roman"/>
          <w:color w:val="222222"/>
          <w:sz w:val="24"/>
          <w:szCs w:val="24"/>
          <w:shd w:val="clear" w:color="auto" w:fill="FFFFFF"/>
        </w:rPr>
        <w:t xml:space="preserve">(2), 308-316. </w:t>
      </w:r>
      <w:hyperlink r:id="rId13" w:history="1">
        <w:r w:rsidRPr="00D721E9">
          <w:rPr>
            <w:rStyle w:val="Hyperlink"/>
            <w:rFonts w:ascii="Times New Roman" w:hAnsi="Times New Roman" w:cs="Times New Roman"/>
            <w:sz w:val="24"/>
            <w:szCs w:val="24"/>
            <w:shd w:val="clear" w:color="auto" w:fill="FFFFFF"/>
          </w:rPr>
          <w:t>https://doi.org/10.1016/j.teln.2022.11.011</w:t>
        </w:r>
      </w:hyperlink>
      <w:r w:rsidRPr="00D721E9">
        <w:rPr>
          <w:rFonts w:ascii="Times New Roman" w:hAnsi="Times New Roman" w:cs="Times New Roman"/>
          <w:color w:val="222222"/>
          <w:sz w:val="24"/>
          <w:szCs w:val="24"/>
          <w:shd w:val="clear" w:color="auto" w:fill="FFFFFF"/>
        </w:rPr>
        <w:t xml:space="preserve"> </w:t>
      </w:r>
    </w:p>
    <w:p w14:paraId="640D247D" w14:textId="77777777" w:rsidR="00D721E9" w:rsidRPr="00D721E9" w:rsidRDefault="00D721E9" w:rsidP="00D721E9">
      <w:pPr>
        <w:spacing w:after="0" w:line="480" w:lineRule="auto"/>
        <w:ind w:left="720" w:hanging="720"/>
        <w:rPr>
          <w:rFonts w:ascii="Times New Roman" w:hAnsi="Times New Roman" w:cs="Times New Roman"/>
          <w:sz w:val="24"/>
          <w:szCs w:val="24"/>
        </w:rPr>
      </w:pPr>
    </w:p>
    <w:sectPr w:rsidR="00D721E9" w:rsidRPr="00D721E9" w:rsidSect="00466A6C">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D93C3" w14:textId="77777777" w:rsidR="00084D4A" w:rsidRDefault="00084D4A" w:rsidP="00466A6C">
      <w:pPr>
        <w:spacing w:after="0" w:line="240" w:lineRule="auto"/>
      </w:pPr>
      <w:r>
        <w:separator/>
      </w:r>
    </w:p>
  </w:endnote>
  <w:endnote w:type="continuationSeparator" w:id="0">
    <w:p w14:paraId="06FC3411" w14:textId="77777777" w:rsidR="00084D4A" w:rsidRDefault="00084D4A" w:rsidP="00466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4C589" w14:textId="77777777" w:rsidR="00084D4A" w:rsidRDefault="00084D4A" w:rsidP="00466A6C">
      <w:pPr>
        <w:spacing w:after="0" w:line="240" w:lineRule="auto"/>
      </w:pPr>
      <w:r>
        <w:separator/>
      </w:r>
    </w:p>
  </w:footnote>
  <w:footnote w:type="continuationSeparator" w:id="0">
    <w:p w14:paraId="375209AA" w14:textId="77777777" w:rsidR="00084D4A" w:rsidRDefault="00084D4A" w:rsidP="00466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906676463"/>
      <w:docPartObj>
        <w:docPartGallery w:val="Page Numbers (Top of Page)"/>
        <w:docPartUnique/>
      </w:docPartObj>
    </w:sdtPr>
    <w:sdtEndPr>
      <w:rPr>
        <w:noProof/>
      </w:rPr>
    </w:sdtEndPr>
    <w:sdtContent>
      <w:p w14:paraId="78714656" w14:textId="33FB3503" w:rsidR="00466A6C" w:rsidRPr="00466A6C" w:rsidRDefault="00466A6C">
        <w:pPr>
          <w:pStyle w:val="Header"/>
          <w:jc w:val="right"/>
          <w:rPr>
            <w:rFonts w:ascii="Times New Roman" w:hAnsi="Times New Roman" w:cs="Times New Roman"/>
            <w:sz w:val="24"/>
            <w:szCs w:val="24"/>
          </w:rPr>
        </w:pPr>
        <w:r w:rsidRPr="00466A6C">
          <w:rPr>
            <w:rFonts w:ascii="Times New Roman" w:hAnsi="Times New Roman" w:cs="Times New Roman"/>
            <w:sz w:val="24"/>
            <w:szCs w:val="24"/>
          </w:rPr>
          <w:fldChar w:fldCharType="begin"/>
        </w:r>
        <w:r w:rsidRPr="00466A6C">
          <w:rPr>
            <w:rFonts w:ascii="Times New Roman" w:hAnsi="Times New Roman" w:cs="Times New Roman"/>
            <w:sz w:val="24"/>
            <w:szCs w:val="24"/>
          </w:rPr>
          <w:instrText xml:space="preserve"> PAGE   \* MERGEFORMAT </w:instrText>
        </w:r>
        <w:r w:rsidRPr="00466A6C">
          <w:rPr>
            <w:rFonts w:ascii="Times New Roman" w:hAnsi="Times New Roman" w:cs="Times New Roman"/>
            <w:sz w:val="24"/>
            <w:szCs w:val="24"/>
          </w:rPr>
          <w:fldChar w:fldCharType="separate"/>
        </w:r>
        <w:r w:rsidRPr="00466A6C">
          <w:rPr>
            <w:rFonts w:ascii="Times New Roman" w:hAnsi="Times New Roman" w:cs="Times New Roman"/>
            <w:noProof/>
            <w:sz w:val="24"/>
            <w:szCs w:val="24"/>
          </w:rPr>
          <w:t>2</w:t>
        </w:r>
        <w:r w:rsidRPr="00466A6C">
          <w:rPr>
            <w:rFonts w:ascii="Times New Roman" w:hAnsi="Times New Roman" w:cs="Times New Roman"/>
            <w:noProof/>
            <w:sz w:val="24"/>
            <w:szCs w:val="24"/>
          </w:rPr>
          <w:fldChar w:fldCharType="end"/>
        </w:r>
      </w:p>
    </w:sdtContent>
  </w:sdt>
  <w:p w14:paraId="5111436E" w14:textId="77777777" w:rsidR="00466A6C" w:rsidRDefault="00466A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4F"/>
    <w:rsid w:val="00075005"/>
    <w:rsid w:val="00084D4A"/>
    <w:rsid w:val="00466A6C"/>
    <w:rsid w:val="00574B4F"/>
    <w:rsid w:val="00776BF4"/>
    <w:rsid w:val="00D721E9"/>
    <w:rsid w:val="00E460BE"/>
    <w:rsid w:val="00F04F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ACCC1"/>
  <w15:chartTrackingRefBased/>
  <w15:docId w15:val="{13CB64CA-951C-4BDF-A911-D86BFC7B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005"/>
    <w:rPr>
      <w:color w:val="0563C1" w:themeColor="hyperlink"/>
      <w:u w:val="single"/>
    </w:rPr>
  </w:style>
  <w:style w:type="character" w:styleId="UnresolvedMention">
    <w:name w:val="Unresolved Mention"/>
    <w:basedOn w:val="DefaultParagraphFont"/>
    <w:uiPriority w:val="99"/>
    <w:semiHidden/>
    <w:unhideWhenUsed/>
    <w:rsid w:val="00075005"/>
    <w:rPr>
      <w:color w:val="605E5C"/>
      <w:shd w:val="clear" w:color="auto" w:fill="E1DFDD"/>
    </w:rPr>
  </w:style>
  <w:style w:type="paragraph" w:styleId="Header">
    <w:name w:val="header"/>
    <w:basedOn w:val="Normal"/>
    <w:link w:val="HeaderChar"/>
    <w:uiPriority w:val="99"/>
    <w:unhideWhenUsed/>
    <w:rsid w:val="00466A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A6C"/>
    <w:rPr>
      <w:lang w:val="en-US"/>
    </w:rPr>
  </w:style>
  <w:style w:type="paragraph" w:styleId="Footer">
    <w:name w:val="footer"/>
    <w:basedOn w:val="Normal"/>
    <w:link w:val="FooterChar"/>
    <w:uiPriority w:val="99"/>
    <w:unhideWhenUsed/>
    <w:rsid w:val="00466A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A6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86/s12912-024-01795-2" TargetMode="External"/><Relationship Id="rId13" Type="http://schemas.openxmlformats.org/officeDocument/2006/relationships/hyperlink" Target="https://doi.org/10.1016/j.teln.2022.11.011" TargetMode="External"/><Relationship Id="rId3" Type="http://schemas.openxmlformats.org/officeDocument/2006/relationships/webSettings" Target="webSettings.xml"/><Relationship Id="rId7" Type="http://schemas.openxmlformats.org/officeDocument/2006/relationships/hyperlink" Target="https://doi.org/10.1177/23779608221126359" TargetMode="External"/><Relationship Id="rId12" Type="http://schemas.openxmlformats.org/officeDocument/2006/relationships/hyperlink" Target="https://doi.org/10.1186/s12909-021-02758-w"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doi.org/10.1097/CORR.0000000000002580" TargetMode="External"/><Relationship Id="rId11" Type="http://schemas.openxmlformats.org/officeDocument/2006/relationships/hyperlink" Target="https://doi.org/10.17226/2598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doi.org/10.1136/bmjebm-2022-112068" TargetMode="External"/><Relationship Id="rId4" Type="http://schemas.openxmlformats.org/officeDocument/2006/relationships/footnotes" Target="footnotes.xml"/><Relationship Id="rId9" Type="http://schemas.openxmlformats.org/officeDocument/2006/relationships/hyperlink" Target="https://doi.org/10.1186/s12912-023-01307-8"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2025-02-21T19:56:00Z</dcterms:created>
  <dcterms:modified xsi:type="dcterms:W3CDTF">2025-02-21T21:01:00Z</dcterms:modified>
</cp:coreProperties>
</file>